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48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Проект</w:t>
      </w:r>
      <w:r/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</w:t>
      </w:r>
      <w:r>
        <w:rPr>
          <w:bCs/>
          <w:sz w:val="28"/>
          <w:szCs w:val="28"/>
        </w:rPr>
        <w:t xml:space="preserve">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  <w:r>
        <w:rPr>
          <w:sz w:val="28"/>
          <w:szCs w:val="28"/>
        </w:rPr>
      </w:r>
      <w:r/>
    </w:p>
    <w:p>
      <w:pPr>
        <w:pStyle w:val="648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троку «</w:t>
      </w:r>
      <w:r>
        <w:rPr>
          <w:sz w:val="28"/>
          <w:szCs w:val="28"/>
        </w:rPr>
        <w:t xml:space="preserve">Ресурсное обеспечение реализации государственной программы з</w:t>
      </w:r>
      <w:r>
        <w:rPr>
          <w:sz w:val="28"/>
          <w:szCs w:val="28"/>
        </w:rPr>
        <w:t xml:space="preserve">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</w:t>
      </w:r>
      <w:r>
        <w:rPr>
          <w:bCs/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на 2020 – 2025 годы</w:t>
      </w:r>
      <w:r>
        <w:rPr>
          <w:bCs/>
          <w:sz w:val="28"/>
          <w:szCs w:val="28"/>
        </w:rPr>
        <w:t xml:space="preserve">» изложить в следующей редакции:</w:t>
      </w:r>
      <w:r/>
    </w:p>
    <w:p>
      <w:pPr>
        <w:pStyle w:val="64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78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1276"/>
        <w:gridCol w:w="1559"/>
        <w:gridCol w:w="1134"/>
        <w:gridCol w:w="1559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</w:t>
            </w:r>
            <w:r>
              <w:rPr>
                <w:lang w:eastAsia="en-US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lang w:eastAsia="en-US"/>
              </w:rPr>
              <w:t xml:space="preserve">6002526,64</w:t>
            </w:r>
            <w:r>
              <w:rPr>
                <w:lang w:eastAsia="en-US"/>
              </w:rPr>
              <w:t xml:space="preserve"> тыс. рублей*, в том числе за счет средств областного бюджета – </w:t>
            </w:r>
            <w:r>
              <w:rPr>
                <w:lang w:eastAsia="en-US"/>
              </w:rPr>
              <w:t xml:space="preserve">4183690,46</w:t>
            </w:r>
            <w:r>
              <w:rPr>
                <w:lang w:eastAsia="en-US"/>
              </w:rPr>
              <w:t xml:space="preserve"> тыс. рублей:</w:t>
            </w:r>
            <w:r/>
          </w:p>
          <w:p>
            <w:pPr>
              <w:pStyle w:val="648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(тыс. рублей)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Бюджеты муниципаль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Внебюд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жетные источ</w:t>
            </w: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74635,91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702831,86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4695,15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782162,92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910402,2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495618,1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1992,0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1408012,3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655922,3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870684,4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310,42</w:t>
            </w:r>
            <w:r>
              <w:rPr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1526917,12</w:t>
            </w:r>
            <w:r>
              <w:rPr>
                <w:lang w:val="en-US"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170878,2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1097423,7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1268301,9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711490,9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711490,9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305641,5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305641,5</w:t>
            </w:r>
            <w:r>
              <w:rPr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1811838,61</w:t>
            </w:r>
            <w:r>
              <w:rPr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4183690,46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6997,57</w:t>
            </w:r>
            <w:r>
              <w:rPr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6002526,64</w:t>
            </w:r>
            <w:r>
              <w:rPr>
                <w:lang w:eastAsia="en-US"/>
              </w:rPr>
              <w:t xml:space="preserve">».</w:t>
            </w:r>
            <w:r/>
          </w:p>
        </w:tc>
      </w:tr>
    </w:tbl>
    <w:p>
      <w:pPr>
        <w:pStyle w:val="64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таблице 2 раздела 7 «Система программных мероприятий» в </w:t>
      </w:r>
      <w:r>
        <w:rPr>
          <w:sz w:val="28"/>
          <w:szCs w:val="28"/>
        </w:rPr>
        <w:t xml:space="preserve">разделе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</w:r>
      <w:r>
        <w:rPr>
          <w:sz w:val="28"/>
          <w:szCs w:val="28"/>
        </w:rPr>
        <w:t xml:space="preserve">» пункт 1.62 признать утратившим силу.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10 «Ресурсное обеспечение реализации государственной программы»:</w:t>
      </w:r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</w:t>
      </w:r>
      <w:r>
        <w:rPr>
          <w:sz w:val="28"/>
          <w:szCs w:val="28"/>
        </w:rPr>
        <w:t xml:space="preserve"> первый </w:t>
      </w:r>
      <w:r>
        <w:rPr>
          <w:sz w:val="28"/>
          <w:szCs w:val="28"/>
        </w:rPr>
        <w:t xml:space="preserve">изложить в следующей редакции:</w:t>
      </w:r>
      <w:r/>
    </w:p>
    <w:p>
      <w:pPr>
        <w:pStyle w:val="648"/>
        <w:jc w:val="both"/>
        <w:rPr>
          <w:lang w:eastAsia="en-US"/>
        </w:rPr>
      </w:pPr>
      <w:r>
        <w:rPr>
          <w:sz w:val="28"/>
          <w:szCs w:val="28"/>
        </w:rPr>
        <w:tab/>
        <w:t xml:space="preserve">«</w:t>
      </w:r>
      <w:r>
        <w:rPr>
          <w:sz w:val="28"/>
          <w:szCs w:val="28"/>
          <w:lang w:eastAsia="en-US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в 2020 – 2025 годах составит </w:t>
      </w:r>
      <w:r>
        <w:rPr>
          <w:sz w:val="28"/>
          <w:szCs w:val="28"/>
          <w:lang w:eastAsia="en-US"/>
        </w:rPr>
        <w:t xml:space="preserve">6002526,64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тыс. рублей, в том числе:</w:t>
      </w:r>
      <w:r>
        <w:rPr>
          <w:sz w:val="28"/>
          <w:szCs w:val="28"/>
        </w:rPr>
        <w:t xml:space="preserve">»;</w:t>
      </w:r>
      <w:r>
        <w:rPr>
          <w:lang w:eastAsia="en-US"/>
        </w:rPr>
      </w:r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второй изложить в следующей редакции:</w:t>
      </w:r>
      <w:r/>
    </w:p>
    <w:p>
      <w:pPr>
        <w:pStyle w:val="64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- областной бюджет – </w:t>
      </w:r>
      <w:r>
        <w:rPr>
          <w:sz w:val="28"/>
          <w:szCs w:val="28"/>
        </w:rPr>
      </w:r>
      <w:r>
        <w:rPr>
          <w:lang w:eastAsia="en-US"/>
        </w:rPr>
      </w:r>
      <w:r>
        <w:rPr>
          <w:lang w:eastAsia="en-US"/>
        </w:rPr>
        <w:t xml:space="preserve">4183690,46</w:t>
      </w:r>
      <w:r/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648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 таблице 3 </w:t>
      </w:r>
      <w:r>
        <w:rPr>
          <w:sz w:val="28"/>
          <w:szCs w:val="28"/>
        </w:rPr>
      </w:r>
      <w:r>
        <w:rPr>
          <w:sz w:val="28"/>
          <w:szCs w:val="28"/>
        </w:rPr>
        <w:t xml:space="preserve">«Ресурсное обеспечение реализации государственной программы» </w:t>
      </w:r>
      <w:r/>
      <w:r>
        <w:rPr>
          <w:sz w:val="28"/>
          <w:szCs w:val="28"/>
        </w:rPr>
        <w:t xml:space="preserve">пункт 1.60 признать утратившим силу;</w:t>
      </w:r>
      <w:r/>
      <w:r>
        <w:rPr>
          <w:sz w:val="28"/>
          <w:szCs w:val="28"/>
        </w:rPr>
      </w:r>
    </w:p>
    <w:p>
      <w:pPr>
        <w:pStyle w:val="648"/>
        <w:ind w:firstLine="708"/>
        <w:jc w:val="both"/>
      </w:pPr>
      <w:r>
        <w:rPr>
          <w:sz w:val="28"/>
          <w:szCs w:val="28"/>
          <w:lang w:eastAsia="en-US"/>
        </w:rPr>
        <w:t xml:space="preserve">- в</w:t>
      </w:r>
      <w:r>
        <w:rPr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HYPERLINK "consultantplus://offline/ref=9DCB46296CBFCEEBCB8A79E91F882BF49AB291F121A822B9DF86EA6EC90FC5268661A52BC317815D9473FF0592524047CE783068182CEBF51CF256B5K0D"</w:instrText>
      </w:r>
      <w:r>
        <w:fldChar w:fldCharType="separate"/>
      </w:r>
      <w:r>
        <w:rPr>
          <w:sz w:val="28"/>
          <w:szCs w:val="28"/>
          <w:lang w:eastAsia="en-US"/>
        </w:rPr>
        <w:t xml:space="preserve">таблице 4</w:t>
      </w:r>
      <w:r>
        <w:fldChar w:fldCharType="end"/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 в строке </w:t>
      </w:r>
      <w:r>
        <w:rPr>
          <w:sz w:val="28"/>
          <w:szCs w:val="28"/>
          <w:lang w:eastAsia="en-US"/>
        </w:rPr>
        <w:t xml:space="preserve"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 1.62 признать утратившим силу.</w:t>
      </w:r>
      <w:r/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17" w:firstLine="0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</w:p>
    <w:p>
      <w:pPr>
        <w:pStyle w:val="657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fldChar w:fldCharType="begin"/>
      </w:r>
      <w:r>
        <w:instrText xml:space="preserve">HYPERLINK "consultantplus://offline/ref=E01D79E557A21C47AABF06E632ED60674687BD795E46C41E6DEBAED245234EB9CB504438C08D5D6BFF2999C7BDBF4F954E0C43E88187C3024F90A6c8Y1D"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таблицу 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«Структура финансирования государственной 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pStyle w:val="657"/>
        <w:ind w:firstLine="0"/>
        <w:jc w:val="righ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7"/>
        <w:ind w:firstLine="0"/>
        <w:jc w:val="righ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«Таблица 5</w:t>
      </w:r>
      <w:r/>
    </w:p>
    <w:p>
      <w:pPr>
        <w:pStyle w:val="657"/>
        <w:ind w:firstLine="0"/>
        <w:jc w:val="center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финансирования государственной 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pStyle w:val="657"/>
        <w:ind w:left="12744" w:firstLine="0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1680"/>
        <w:gridCol w:w="1320"/>
        <w:gridCol w:w="1455"/>
        <w:gridCol w:w="1590"/>
        <w:gridCol w:w="1766"/>
        <w:gridCol w:w="1559"/>
        <w:gridCol w:w="2409"/>
      </w:tblGrid>
      <w:tr>
        <w:trPr>
          <w:trHeight w:val="6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restart"/>
            <w:textDirection w:val="lrTb"/>
            <w:noWrap w:val="false"/>
          </w:tcPr>
          <w:p>
            <w:r>
              <w:t xml:space="preserve">Источники и направления расходов</w:t>
            </w:r>
            <w:r/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79" w:type="dxa"/>
            <w:textDirection w:val="lrTb"/>
            <w:noWrap w:val="false"/>
          </w:tcPr>
          <w:p>
            <w:r>
              <w:t xml:space="preserve"> Расходы (тыс. рублей), годы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restart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99" w:type="dxa"/>
            <w:textDirection w:val="lrTb"/>
            <w:noWrap w:val="false"/>
          </w:tcPr>
          <w:p>
            <w:r>
              <w:t xml:space="preserve">В том числе по годам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2020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2021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2022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2023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*2024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*2025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6 002 526,64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782 162,92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1 408 012,30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1 526 917,12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1 268 301,9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711 490,9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305 641,5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4 183 690,46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702 831,86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495 618,1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870 684,4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1 097 423,7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711 490,9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305 641,5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1 811 838,61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910402,20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170878,2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6 997,57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4" w:type="dxa"/>
            <w:textDirection w:val="lrTb"/>
            <w:noWrap w:val="false"/>
          </w:tcPr>
          <w:p>
            <w:r>
              <w:t xml:space="preserve">Капитальные вложения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1719230,09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172447,89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40000,00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458962,4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502392,4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545427,4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1599899,03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93116,83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458962,4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502392,4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545427,4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114635,91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74635,91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40000,00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4695,15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4" w:type="dxa"/>
            <w:textDirection w:val="lrTb"/>
            <w:noWrap w:val="false"/>
          </w:tcPr>
          <w:p>
            <w:r>
              <w:t xml:space="preserve">НИОКР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4" w:type="dxa"/>
            <w:textDirection w:val="lrTb"/>
            <w:noWrap w:val="false"/>
          </w:tcPr>
          <w:p>
            <w:r>
              <w:t xml:space="preserve">Прочие расходы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4283296,55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609715,03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1368012,3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1067954,72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765909,5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166063,5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305641,5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2583791,43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609715,03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495618,1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411722,0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595031,3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166063,5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305641,5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1697202,70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870402,20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655922,30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170878,2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2302,42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1992,00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310,42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</w:tbl>
    <w:p>
      <w:pPr>
        <w:pStyle w:val="657"/>
        <w:ind w:left="0" w:firstLine="0"/>
        <w:rPr>
          <w:rFonts w:ascii="Times New Roman" w:hAnsi="Times New Roman" w:cs="Times New Roman"/>
          <w:sz w:val="28"/>
          <w:szCs w:val="28"/>
          <w:lang w:val="en-US"/>
        </w:rPr>
        <w:outlineLvl w:val="2"/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4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  <w:sectPr>
          <w:headerReference w:type="default" r:id="rId11"/>
          <w:headerReference w:type="even" r:id="rId12"/>
          <w:footnotePr/>
          <w:endnotePr/>
          <w:type w:val="nextPage"/>
          <w:pgSz w:w="16838" w:h="11906" w:orient="landscape"/>
          <w:pgMar w:top="1135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убернатор области </w:t>
      </w:r>
      <w:r>
        <w:rPr>
          <w:sz w:val="28"/>
        </w:rPr>
        <w:tab/>
        <w:tab/>
        <w:tab/>
        <w:tab/>
        <w:tab/>
        <w:tab/>
        <w:tab/>
        <w:t xml:space="preserve">Р.Э. Гольдштейн</w:t>
      </w:r>
      <w:r>
        <w:rPr>
          <w:sz w:val="28"/>
        </w:rPr>
      </w:r>
      <w:r/>
    </w:p>
    <w:p>
      <w:pPr>
        <w:pStyle w:val="648"/>
        <w:jc w:val="both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MS Mincho">
    <w:panose1 w:val="0202060904020508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659"/>
      <w:tabs>
        <w:tab w:val="left" w:pos="484" w:leader="none"/>
        <w:tab w:val="center" w:pos="7285" w:leader="none"/>
      </w:tabs>
      <w:rPr>
        <w:lang w:val="ru-RU"/>
      </w:rPr>
    </w:pPr>
    <w:r>
      <w:rPr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rPr>
        <w:rStyle w:val="661"/>
      </w:rPr>
      <w:framePr w:wrap="around" w:vAnchor="text" w:hAnchor="margin" w:xAlign="center" w:y="1"/>
    </w:pPr>
    <w:r>
      <w:rPr>
        <w:rStyle w:val="661"/>
      </w:rPr>
      <w:fldChar w:fldCharType="begin"/>
    </w:r>
    <w:r>
      <w:rPr>
        <w:rStyle w:val="661"/>
      </w:rPr>
      <w:instrText xml:space="preserve">PAGE  </w:instrText>
    </w:r>
    <w:r>
      <w:rPr>
        <w:rStyle w:val="661"/>
      </w:rPr>
      <w:fldChar w:fldCharType="end"/>
    </w:r>
    <w:r>
      <w:rPr>
        <w:rStyle w:val="661"/>
      </w:rPr>
    </w:r>
    <w:r/>
  </w:p>
  <w:p>
    <w:pPr>
      <w:pStyle w:val="6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659"/>
      <w:tabs>
        <w:tab w:val="left" w:pos="484" w:leader="none"/>
        <w:tab w:val="center" w:pos="7285" w:leader="none"/>
      </w:tabs>
      <w:rPr>
        <w:lang w:val="ru-RU"/>
      </w:rPr>
    </w:pPr>
    <w:r>
      <w:rPr>
        <w:lang w:val="ru-RU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rPr>
        <w:rStyle w:val="661"/>
      </w:rPr>
      <w:framePr w:wrap="around" w:vAnchor="text" w:hAnchor="margin" w:xAlign="center" w:y="1"/>
    </w:pPr>
    <w:r>
      <w:rPr>
        <w:rStyle w:val="661"/>
      </w:rPr>
      <w:fldChar w:fldCharType="begin"/>
    </w:r>
    <w:r>
      <w:rPr>
        <w:rStyle w:val="661"/>
      </w:rPr>
      <w:instrText xml:space="preserve">PAGE  </w:instrText>
    </w:r>
    <w:r>
      <w:rPr>
        <w:rStyle w:val="661"/>
      </w:rPr>
      <w:fldChar w:fldCharType="end"/>
    </w:r>
    <w:r>
      <w:rPr>
        <w:rStyle w:val="661"/>
      </w:rPr>
    </w:r>
    <w:r/>
  </w:p>
  <w:p>
    <w:pPr>
      <w:pStyle w:val="6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04" w:hanging="109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48"/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48"/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8"/>
        <w:ind w:left="28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8"/>
        <w:ind w:left="35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8"/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8"/>
        <w:ind w:left="50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8"/>
        <w:ind w:left="57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8"/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8"/>
        <w:ind w:left="7185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48"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48"/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8"/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8"/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8"/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8"/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8"/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8"/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8"/>
        <w:ind w:left="682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864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4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next w:val="648"/>
    <w:link w:val="648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649">
    <w:name w:val="Заголовок 1"/>
    <w:basedOn w:val="648"/>
    <w:next w:val="648"/>
    <w:link w:val="653"/>
    <w:uiPriority w:val="9"/>
    <w:qFormat/>
    <w:pPr>
      <w:keepNext/>
      <w:outlineLvl w:val="0"/>
    </w:pPr>
    <w:rPr>
      <w:lang w:val="en-US"/>
    </w:rPr>
  </w:style>
  <w:style w:type="character" w:styleId="650">
    <w:name w:val="Основной шрифт абзаца"/>
    <w:next w:val="650"/>
    <w:link w:val="648"/>
    <w:uiPriority w:val="1"/>
    <w:semiHidden/>
    <w:unhideWhenUsed/>
  </w:style>
  <w:style w:type="table" w:styleId="651">
    <w:name w:val="Обычная таблица"/>
    <w:next w:val="651"/>
    <w:link w:val="648"/>
    <w:uiPriority w:val="99"/>
    <w:semiHidden/>
    <w:unhideWhenUsed/>
    <w:qFormat/>
    <w:tblPr/>
  </w:style>
  <w:style w:type="numbering" w:styleId="652">
    <w:name w:val="Нет списка"/>
    <w:next w:val="652"/>
    <w:link w:val="648"/>
    <w:uiPriority w:val="99"/>
    <w:semiHidden/>
    <w:unhideWhenUsed/>
  </w:style>
  <w:style w:type="character" w:styleId="653">
    <w:name w:val="Заголовок 1 Знак"/>
    <w:next w:val="653"/>
    <w:link w:val="649"/>
    <w:uiPriority w:val="9"/>
    <w:rPr>
      <w:rFonts w:ascii="Times New Roman" w:hAnsi="Times New Roman" w:cs="Times New Roman"/>
      <w:sz w:val="24"/>
      <w:szCs w:val="24"/>
      <w:lang w:eastAsia="ru-RU"/>
    </w:rPr>
  </w:style>
  <w:style w:type="paragraph" w:styleId="654">
    <w:name w:val="Основной текст 2"/>
    <w:basedOn w:val="648"/>
    <w:next w:val="654"/>
    <w:link w:val="655"/>
    <w:uiPriority w:val="99"/>
    <w:pPr>
      <w:jc w:val="both"/>
      <w:spacing w:line="360" w:lineRule="auto"/>
    </w:pPr>
    <w:rPr>
      <w:lang w:val="en-US"/>
    </w:rPr>
  </w:style>
  <w:style w:type="character" w:styleId="655">
    <w:name w:val="Основной текст 2 Знак"/>
    <w:next w:val="655"/>
    <w:link w:val="65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656">
    <w:name w:val="ConsNonformat"/>
    <w:next w:val="656"/>
    <w:link w:val="64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57">
    <w:name w:val="ConsPlusNormal"/>
    <w:next w:val="657"/>
    <w:link w:val="648"/>
    <w:pPr>
      <w:ind w:firstLine="720"/>
    </w:pPr>
    <w:rPr>
      <w:rFonts w:ascii="Arial" w:hAnsi="Arial" w:cs="Arial"/>
      <w:lang w:val="ru-RU" w:eastAsia="ru-RU" w:bidi="ar-SA"/>
    </w:rPr>
  </w:style>
  <w:style w:type="paragraph" w:styleId="658">
    <w:name w:val="ConsPlusTitle"/>
    <w:next w:val="658"/>
    <w:link w:val="648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659">
    <w:name w:val="Верхний колонтитул"/>
    <w:basedOn w:val="648"/>
    <w:next w:val="659"/>
    <w:link w:val="66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60">
    <w:name w:val="Верхний колонтитул Знак"/>
    <w:next w:val="660"/>
    <w:link w:val="659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661">
    <w:name w:val="Номер страницы"/>
    <w:next w:val="661"/>
    <w:link w:val="648"/>
    <w:rPr>
      <w:rFonts w:cs="Times New Roman"/>
    </w:rPr>
  </w:style>
  <w:style w:type="paragraph" w:styleId="662">
    <w:name w:val="ConsPlusNonformat"/>
    <w:next w:val="662"/>
    <w:link w:val="648"/>
    <w:uiPriority w:val="99"/>
    <w:rPr>
      <w:rFonts w:ascii="Courier New" w:hAnsi="Courier New" w:cs="Courier New"/>
      <w:lang w:val="ru-RU" w:eastAsia="ru-RU" w:bidi="ar-SA"/>
    </w:rPr>
  </w:style>
  <w:style w:type="paragraph" w:styleId="663">
    <w:name w:val="Знак Знак Char Char Char Char Char Знак Знак"/>
    <w:basedOn w:val="648"/>
    <w:next w:val="663"/>
    <w:link w:val="64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664">
    <w:name w:val="Основной текст с отступом"/>
    <w:basedOn w:val="648"/>
    <w:next w:val="664"/>
    <w:link w:val="665"/>
    <w:uiPriority w:val="99"/>
    <w:semiHidden/>
    <w:pPr>
      <w:ind w:firstLine="540"/>
      <w:jc w:val="both"/>
    </w:pPr>
    <w:rPr>
      <w:lang w:val="en-US"/>
    </w:rPr>
  </w:style>
  <w:style w:type="character" w:styleId="665">
    <w:name w:val="Основной текст с отступом Знак"/>
    <w:next w:val="665"/>
    <w:link w:val="664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666">
    <w:name w:val="Основной текст с отступом 2"/>
    <w:basedOn w:val="648"/>
    <w:next w:val="666"/>
    <w:link w:val="667"/>
    <w:uiPriority w:val="99"/>
    <w:semiHidden/>
    <w:pPr>
      <w:ind w:firstLine="720"/>
      <w:jc w:val="both"/>
      <w:spacing w:line="360" w:lineRule="auto"/>
    </w:pPr>
    <w:rPr>
      <w:lang w:val="en-US"/>
    </w:rPr>
  </w:style>
  <w:style w:type="character" w:styleId="667">
    <w:name w:val="Основной текст с отступом 2 Знак"/>
    <w:next w:val="667"/>
    <w:link w:val="666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668">
    <w:name w:val="ConsPlusCell"/>
    <w:next w:val="668"/>
    <w:link w:val="648"/>
    <w:pPr>
      <w:widowControl w:val="off"/>
    </w:pPr>
    <w:rPr>
      <w:rFonts w:ascii="Arial" w:hAnsi="Arial" w:cs="Arial"/>
      <w:lang w:val="ru-RU" w:eastAsia="ru-RU" w:bidi="ar-SA"/>
    </w:rPr>
  </w:style>
  <w:style w:type="paragraph" w:styleId="669">
    <w:name w:val="Основной текст с отступом 3"/>
    <w:basedOn w:val="648"/>
    <w:next w:val="669"/>
    <w:link w:val="670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670">
    <w:name w:val="Основной текст с отступом 3 Знак"/>
    <w:next w:val="670"/>
    <w:link w:val="669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671">
    <w:name w:val="ConsNormal"/>
    <w:next w:val="671"/>
    <w:link w:val="64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72">
    <w:name w:val="ConsCell"/>
    <w:next w:val="672"/>
    <w:link w:val="648"/>
    <w:pPr>
      <w:widowControl w:val="off"/>
    </w:pPr>
    <w:rPr>
      <w:rFonts w:ascii="Arial" w:hAnsi="Arial" w:cs="Arial"/>
      <w:lang w:val="ru-RU" w:eastAsia="ru-RU" w:bidi="ar-SA"/>
    </w:rPr>
  </w:style>
  <w:style w:type="paragraph" w:styleId="673">
    <w:name w:val="Заголовок"/>
    <w:basedOn w:val="648"/>
    <w:next w:val="674"/>
    <w:link w:val="648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  <w:lang w:eastAsia="ar-SA"/>
    </w:rPr>
  </w:style>
  <w:style w:type="paragraph" w:styleId="674">
    <w:name w:val="Основной текст"/>
    <w:basedOn w:val="648"/>
    <w:next w:val="674"/>
    <w:link w:val="675"/>
    <w:uiPriority w:val="99"/>
    <w:semiHidden/>
    <w:unhideWhenUsed/>
    <w:pPr>
      <w:spacing w:after="120"/>
    </w:pPr>
    <w:rPr>
      <w:lang w:val="en-US"/>
    </w:rPr>
  </w:style>
  <w:style w:type="character" w:styleId="675">
    <w:name w:val="Основной текст Знак"/>
    <w:next w:val="675"/>
    <w:link w:val="674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676">
    <w:name w:val="Текст выноски"/>
    <w:basedOn w:val="648"/>
    <w:next w:val="676"/>
    <w:link w:val="67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77">
    <w:name w:val="Текст выноски Знак"/>
    <w:next w:val="677"/>
    <w:link w:val="67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78">
    <w:name w:val="Нижний колонтитул"/>
    <w:basedOn w:val="648"/>
    <w:next w:val="678"/>
    <w:link w:val="67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79">
    <w:name w:val="Нижний колонтитул Знак"/>
    <w:next w:val="679"/>
    <w:link w:val="67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680">
    <w:name w:val="Основной текст + Полужирный"/>
    <w:next w:val="680"/>
    <w:link w:val="648"/>
    <w:rPr>
      <w:rFonts w:ascii="Times New Roman" w:hAnsi="Times New Roman"/>
      <w:b/>
      <w:color w:val="000000"/>
      <w:spacing w:val="0"/>
      <w:position w:val="0"/>
      <w:sz w:val="26"/>
      <w:u w:val="none"/>
      <w:lang w:val="ru-RU"/>
    </w:rPr>
  </w:style>
  <w:style w:type="character" w:styleId="681">
    <w:name w:val="Гиперссылка"/>
    <w:next w:val="681"/>
    <w:link w:val="648"/>
    <w:uiPriority w:val="99"/>
    <w:unhideWhenUsed/>
    <w:rPr>
      <w:rFonts w:cs="Times New Roman"/>
      <w:color w:val="0000ff"/>
      <w:u w:val="single"/>
    </w:rPr>
  </w:style>
  <w:style w:type="paragraph" w:styleId="682">
    <w:name w:val="Абзац списка"/>
    <w:basedOn w:val="648"/>
    <w:next w:val="682"/>
    <w:link w:val="64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83">
    <w:name w:val="Без интервала"/>
    <w:next w:val="683"/>
    <w:link w:val="648"/>
    <w:uiPriority w:val="1"/>
    <w:qFormat/>
    <w:rPr>
      <w:rFonts w:cs="Times New Roman"/>
      <w:sz w:val="22"/>
      <w:szCs w:val="22"/>
      <w:lang w:val="ru-RU" w:eastAsia="en-US" w:bidi="ar-SA"/>
    </w:rPr>
  </w:style>
  <w:style w:type="numbering" w:styleId="684">
    <w:name w:val="Нет списка1"/>
    <w:next w:val="652"/>
    <w:link w:val="648"/>
    <w:uiPriority w:val="99"/>
    <w:semiHidden/>
    <w:unhideWhenUsed/>
  </w:style>
  <w:style w:type="table" w:styleId="685">
    <w:name w:val="Сетка таблицы"/>
    <w:basedOn w:val="651"/>
    <w:next w:val="685"/>
    <w:link w:val="648"/>
    <w:uiPriority w:val="59"/>
    <w:rPr>
      <w:rFonts w:cs="Times New Roman"/>
    </w:rPr>
    <w:tblPr/>
  </w:style>
  <w:style w:type="paragraph" w:styleId="686">
    <w:name w:val="ConsPlusTitlePage"/>
    <w:next w:val="686"/>
    <w:link w:val="648"/>
    <w:pPr>
      <w:widowControl w:val="off"/>
    </w:pPr>
    <w:rPr>
      <w:rFonts w:ascii="Tahoma" w:hAnsi="Tahoma" w:cs="Tahoma"/>
      <w:lang w:val="ru-RU" w:eastAsia="ru-RU" w:bidi="ar-SA"/>
    </w:rPr>
  </w:style>
  <w:style w:type="numbering" w:styleId="687">
    <w:name w:val="Нет списка2"/>
    <w:next w:val="652"/>
    <w:link w:val="648"/>
    <w:uiPriority w:val="99"/>
    <w:semiHidden/>
    <w:unhideWhenUsed/>
  </w:style>
  <w:style w:type="character" w:styleId="688">
    <w:name w:val="Просмотренная гиперссылка"/>
    <w:next w:val="688"/>
    <w:link w:val="648"/>
    <w:uiPriority w:val="99"/>
    <w:semiHidden/>
    <w:unhideWhenUsed/>
    <w:rPr>
      <w:color w:val="800080"/>
      <w:u w:val="single"/>
    </w:rPr>
  </w:style>
  <w:style w:type="paragraph" w:styleId="689">
    <w:name w:val="xl65"/>
    <w:basedOn w:val="648"/>
    <w:next w:val="689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0">
    <w:name w:val="xl66"/>
    <w:basedOn w:val="648"/>
    <w:next w:val="690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691">
    <w:name w:val="xl67"/>
    <w:basedOn w:val="648"/>
    <w:next w:val="691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2">
    <w:name w:val="xl68"/>
    <w:basedOn w:val="648"/>
    <w:next w:val="692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3">
    <w:name w:val="xl69"/>
    <w:basedOn w:val="648"/>
    <w:next w:val="693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4">
    <w:name w:val="xl70"/>
    <w:basedOn w:val="648"/>
    <w:next w:val="694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695">
    <w:name w:val="xl71"/>
    <w:basedOn w:val="648"/>
    <w:next w:val="695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6">
    <w:name w:val="xl72"/>
    <w:basedOn w:val="648"/>
    <w:next w:val="696"/>
    <w:link w:val="64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7">
    <w:name w:val="xl73"/>
    <w:basedOn w:val="648"/>
    <w:next w:val="697"/>
    <w:link w:val="64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8">
    <w:name w:val="xl74"/>
    <w:basedOn w:val="648"/>
    <w:next w:val="698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699">
    <w:name w:val="xl75"/>
    <w:basedOn w:val="648"/>
    <w:next w:val="699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700">
    <w:name w:val="xl76"/>
    <w:basedOn w:val="648"/>
    <w:next w:val="700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701">
    <w:name w:val="font5"/>
    <w:basedOn w:val="648"/>
    <w:next w:val="701"/>
    <w:link w:val="648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702">
    <w:name w:val="font6"/>
    <w:basedOn w:val="648"/>
    <w:next w:val="702"/>
    <w:link w:val="648"/>
    <w:pPr>
      <w:spacing w:before="100" w:beforeAutospacing="1" w:after="100" w:afterAutospacing="1"/>
    </w:pPr>
    <w:rPr>
      <w:color w:val="000000"/>
    </w:rPr>
  </w:style>
  <w:style w:type="paragraph" w:styleId="703">
    <w:name w:val="xl77"/>
    <w:basedOn w:val="648"/>
    <w:next w:val="703"/>
    <w:link w:val="64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704">
    <w:name w:val="xl78"/>
    <w:basedOn w:val="648"/>
    <w:next w:val="704"/>
    <w:link w:val="6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05">
    <w:name w:val="xl79"/>
    <w:basedOn w:val="648"/>
    <w:next w:val="705"/>
    <w:link w:val="64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06">
    <w:name w:val="xl80"/>
    <w:basedOn w:val="648"/>
    <w:next w:val="706"/>
    <w:link w:val="64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07">
    <w:name w:val="xl81"/>
    <w:basedOn w:val="648"/>
    <w:next w:val="707"/>
    <w:link w:val="64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08">
    <w:name w:val="xl82"/>
    <w:basedOn w:val="648"/>
    <w:next w:val="708"/>
    <w:link w:val="64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09">
    <w:name w:val="xl83"/>
    <w:basedOn w:val="648"/>
    <w:next w:val="709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10">
    <w:name w:val="xl84"/>
    <w:basedOn w:val="648"/>
    <w:next w:val="710"/>
    <w:link w:val="64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11">
    <w:name w:val="xl85"/>
    <w:basedOn w:val="648"/>
    <w:next w:val="711"/>
    <w:link w:val="64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2">
    <w:name w:val="xl86"/>
    <w:basedOn w:val="648"/>
    <w:next w:val="712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713">
    <w:name w:val="xl87"/>
    <w:basedOn w:val="648"/>
    <w:next w:val="713"/>
    <w:link w:val="64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14">
    <w:name w:val="xl88"/>
    <w:basedOn w:val="648"/>
    <w:next w:val="714"/>
    <w:link w:val="6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character" w:styleId="8168" w:default="1">
    <w:name w:val="Default Paragraph Font"/>
    <w:uiPriority w:val="1"/>
    <w:semiHidden/>
    <w:unhideWhenUsed/>
  </w:style>
  <w:style w:type="numbering" w:styleId="8169" w:default="1">
    <w:name w:val="No List"/>
    <w:uiPriority w:val="99"/>
    <w:semiHidden/>
    <w:unhideWhenUsed/>
  </w:style>
  <w:style w:type="table" w:styleId="81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revision>12</cp:revision>
  <dcterms:created xsi:type="dcterms:W3CDTF">2023-01-12T06:51:00Z</dcterms:created>
  <dcterms:modified xsi:type="dcterms:W3CDTF">2023-04-13T10:01:37Z</dcterms:modified>
  <cp:version>786432</cp:version>
</cp:coreProperties>
</file>